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B25CF" w14:textId="2CF8CC2A" w:rsidR="00835E53" w:rsidRPr="00835E53" w:rsidRDefault="00835E53" w:rsidP="00835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5E53">
        <w:rPr>
          <w:rFonts w:ascii="Times New Roman" w:eastAsia="Times New Roman" w:hAnsi="Times New Roman" w:cs="Times New Roman"/>
          <w:b/>
          <w:bCs/>
          <w:noProof/>
          <w:color w:val="497FD7"/>
          <w:sz w:val="24"/>
          <w:szCs w:val="24"/>
          <w:lang w:eastAsia="hr-HR"/>
        </w:rPr>
        <mc:AlternateContent>
          <mc:Choice Requires="wps">
            <w:drawing>
              <wp:inline distT="0" distB="0" distL="0" distR="0" wp14:anchorId="4401132E" wp14:editId="399890D3">
                <wp:extent cx="304800" cy="304800"/>
                <wp:effectExtent l="0" t="0" r="0" b="0"/>
                <wp:docPr id="2" name="Pravokutnik 2" descr="home icon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874985" id="Pravokutnik 2" o:spid="_x0000_s1026" alt="home icon" href="https://www.zakon.hr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26F6BD58" w14:textId="77777777" w:rsidR="00835E53" w:rsidRPr="00835E53" w:rsidRDefault="00835E53" w:rsidP="00835E5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r-HR"/>
        </w:rPr>
      </w:pPr>
      <w:r w:rsidRPr="00835E53">
        <w:rPr>
          <w:rFonts w:ascii="Arial" w:eastAsia="Times New Roman" w:hAnsi="Arial" w:cs="Arial"/>
          <w:vanish/>
          <w:sz w:val="16"/>
          <w:szCs w:val="16"/>
          <w:lang w:eastAsia="hr-HR"/>
        </w:rPr>
        <w:t>Dno obrasca</w:t>
      </w:r>
    </w:p>
    <w:p w14:paraId="51540596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MINISTARSTVO ZNANOSTI, OBRAZOVANJA I SPORTA</w:t>
      </w:r>
    </w:p>
    <w:p w14:paraId="1F67209D" w14:textId="77777777" w:rsidR="00835E53" w:rsidRPr="00835E53" w:rsidRDefault="00835E53" w:rsidP="00835E53">
      <w:pPr>
        <w:spacing w:after="135" w:line="240" w:lineRule="auto"/>
        <w:jc w:val="both"/>
        <w:rPr>
          <w:rFonts w:ascii="Open Sans" w:eastAsia="Times New Roman" w:hAnsi="Open Sans" w:cs="Open Sans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Na temelju članka 86. stavka 3. </w:t>
      </w:r>
      <w:hyperlink r:id="rId6" w:tgtFrame="_blank" w:history="1">
        <w:r w:rsidRPr="00835E53">
          <w:rPr>
            <w:rFonts w:ascii="Open Sans" w:eastAsia="Times New Roman" w:hAnsi="Open Sans" w:cs="Open Sans"/>
            <w:sz w:val="21"/>
            <w:szCs w:val="21"/>
            <w:lang w:eastAsia="hr-HR"/>
          </w:rPr>
          <w:t>Zakona o odgoju i obrazovanju u osnovnoj i srednjoj školi</w:t>
        </w:r>
      </w:hyperlink>
      <w:r w:rsidRPr="00835E53">
        <w:rPr>
          <w:rFonts w:ascii="Open Sans" w:eastAsia="Times New Roman" w:hAnsi="Open Sans" w:cs="Open Sans"/>
          <w:sz w:val="21"/>
          <w:szCs w:val="21"/>
          <w:lang w:eastAsia="hr-HR"/>
        </w:rPr>
        <w:t> (»Narodne novine«, broj 87/08., 86/09., 92/10., 105/10. – ispravak, 90/11., 16/12., 86/12., 94/13. i 152/14.), ministar znanosti, obrazovanja i sporta donosi</w:t>
      </w:r>
    </w:p>
    <w:p w14:paraId="525AE7B3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sz w:val="21"/>
          <w:szCs w:val="21"/>
          <w:lang w:eastAsia="hr-HR"/>
        </w:rPr>
        <w:t> </w:t>
      </w:r>
    </w:p>
    <w:p w14:paraId="04778E81" w14:textId="77777777" w:rsidR="00835E53" w:rsidRPr="00835E53" w:rsidRDefault="00835E53" w:rsidP="00835E53">
      <w:pPr>
        <w:spacing w:before="240" w:after="240" w:line="336" w:lineRule="atLeast"/>
        <w:jc w:val="center"/>
        <w:outlineLvl w:val="0"/>
        <w:rPr>
          <w:rFonts w:ascii="Open Sans" w:eastAsia="Times New Roman" w:hAnsi="Open Sans" w:cs="Open Sans"/>
          <w:b/>
          <w:bCs/>
          <w:kern w:val="36"/>
          <w:sz w:val="48"/>
          <w:szCs w:val="48"/>
          <w:lang w:eastAsia="hr-HR"/>
        </w:rPr>
      </w:pPr>
      <w:r w:rsidRPr="00835E53">
        <w:rPr>
          <w:rFonts w:ascii="Open Sans" w:eastAsia="Times New Roman" w:hAnsi="Open Sans" w:cs="Open Sans"/>
          <w:b/>
          <w:bCs/>
          <w:kern w:val="36"/>
          <w:sz w:val="48"/>
          <w:szCs w:val="48"/>
          <w:lang w:eastAsia="hr-HR"/>
        </w:rPr>
        <w:t>PRAVILNIK O KRITERIJIMA ZA IZRICANJE PEDAGOŠKIH MJERA</w:t>
      </w:r>
    </w:p>
    <w:p w14:paraId="79A2A17C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sz w:val="21"/>
          <w:szCs w:val="21"/>
          <w:lang w:eastAsia="hr-HR"/>
        </w:rPr>
        <w:t>Pročišćeni tekst</w:t>
      </w:r>
    </w:p>
    <w:p w14:paraId="6F19FBD8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sz w:val="21"/>
          <w:szCs w:val="21"/>
          <w:lang w:eastAsia="hr-HR"/>
        </w:rPr>
        <w:t>NN </w:t>
      </w:r>
      <w:hyperlink r:id="rId7" w:tgtFrame="_blank" w:history="1">
        <w:r w:rsidRPr="00835E53">
          <w:rPr>
            <w:rFonts w:ascii="Open Sans" w:eastAsia="Times New Roman" w:hAnsi="Open Sans" w:cs="Open Sans"/>
            <w:b/>
            <w:bCs/>
            <w:sz w:val="21"/>
            <w:szCs w:val="21"/>
            <w:lang w:eastAsia="hr-HR"/>
          </w:rPr>
          <w:t>94/15</w:t>
        </w:r>
      </w:hyperlink>
      <w:r w:rsidRPr="00835E53">
        <w:rPr>
          <w:rFonts w:ascii="Open Sans" w:eastAsia="Times New Roman" w:hAnsi="Open Sans" w:cs="Open Sans"/>
          <w:sz w:val="21"/>
          <w:szCs w:val="21"/>
          <w:lang w:eastAsia="hr-HR"/>
        </w:rPr>
        <w:t>, </w:t>
      </w:r>
      <w:hyperlink r:id="rId8" w:tgtFrame="_blank" w:history="1">
        <w:r w:rsidRPr="00835E53">
          <w:rPr>
            <w:rFonts w:ascii="Open Sans" w:eastAsia="Times New Roman" w:hAnsi="Open Sans" w:cs="Open Sans"/>
            <w:b/>
            <w:bCs/>
            <w:sz w:val="21"/>
            <w:szCs w:val="21"/>
            <w:lang w:eastAsia="hr-HR"/>
          </w:rPr>
          <w:t>03/17</w:t>
        </w:r>
      </w:hyperlink>
      <w:r w:rsidRPr="00835E53">
        <w:rPr>
          <w:rFonts w:ascii="Open Sans" w:eastAsia="Times New Roman" w:hAnsi="Open Sans" w:cs="Open Sans"/>
          <w:sz w:val="21"/>
          <w:szCs w:val="21"/>
          <w:lang w:eastAsia="hr-HR"/>
        </w:rPr>
        <w:t>, </w:t>
      </w:r>
      <w:hyperlink r:id="rId9" w:tgtFrame="_blank" w:history="1">
        <w:r w:rsidRPr="00835E53">
          <w:rPr>
            <w:rFonts w:ascii="Open Sans" w:eastAsia="Times New Roman" w:hAnsi="Open Sans" w:cs="Open Sans"/>
            <w:sz w:val="21"/>
            <w:szCs w:val="21"/>
            <w:lang w:eastAsia="hr-HR"/>
          </w:rPr>
          <w:t>22/26</w:t>
        </w:r>
      </w:hyperlink>
    </w:p>
    <w:p w14:paraId="52DF7997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sz w:val="21"/>
          <w:szCs w:val="21"/>
          <w:lang w:eastAsia="hr-HR"/>
        </w:rPr>
        <w:t>Članak 1.</w:t>
      </w:r>
    </w:p>
    <w:p w14:paraId="624873E4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(1) Ovim pravilnikom propisuju se kriteriji za izricanje pedagoških mjera učenicima osnovnih i srednjih škola.</w:t>
      </w:r>
    </w:p>
    <w:p w14:paraId="1092CA19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(2) Svrha izricanja pedagoške mjere je da se njezinim izricanjem utječe na promjenu ponašanja učenika kojem je mjera izrečena te da bude poticaj na odgovorno i primjerno ponašanje drugim učenicima. Pedagoške mjere trebaju potaknuti učenike na preuzimanje odgovornosti i usvajanje pozitivnog odnosa prema školskim obvezama i okruženju.</w:t>
      </w:r>
    </w:p>
    <w:p w14:paraId="6A5FD382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(3) Izricanje pedagoških mjera temelji se na principima postupnosti, proporcionalnosti, pravednosti i pravodobnosti.</w:t>
      </w:r>
    </w:p>
    <w:p w14:paraId="7942056E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(4) Pedagoške mjere izriču se zbog povrede dužnosti, neispunjavanja obveza, nasilničkog ponašanja i drugih neprimjerenih ponašanja (u daljnjem tekstu: neprihvatljiva ponašanja).</w:t>
      </w:r>
    </w:p>
    <w:p w14:paraId="74D739AE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(5) Pedagoške mjere za koje se utvrđuju kriteriji u:</w:t>
      </w:r>
    </w:p>
    <w:p w14:paraId="7FCCB7A0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a) osnovnoj školi su: opomena, ukor, strogi ukor i preseljenje u drugu školu,</w:t>
      </w:r>
    </w:p>
    <w:p w14:paraId="6BAD7939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b) srednjoj školi su: opomena, ukor, opomena pred isključenje i isključenje iz srednje škole.</w:t>
      </w:r>
    </w:p>
    <w:p w14:paraId="79106289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(6) Pedagoške mjere izriču se prema težini neprihvatljivog ponašanja.</w:t>
      </w:r>
    </w:p>
    <w:p w14:paraId="04A11217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(7) Izrazi koji se koriste u ovome pravilniku, a koji imaju rodno značenje, bez obzira na to jesu li korišteni u muškome ili ženskome rodu obuhvaćaju na jednak način i muški i ženski rod.</w:t>
      </w:r>
    </w:p>
    <w:p w14:paraId="323FBA9F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Članak 2.</w:t>
      </w:r>
    </w:p>
    <w:p w14:paraId="51E73D6D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(1) Kriteriji na temelju kojih se izriče pedagoška mjera trebaju biti takvi da potaknu učenika na odustajanje od neprihvatljivih oblika ponašanja i usvajanje prihvatljivih oblika ponašanja, u skladu s pravilima i kućnim redom škole.</w:t>
      </w:r>
    </w:p>
    <w:p w14:paraId="2F2C6C5E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(2) Na početku svake školske godine razrednik je obvezan na satu razrednika izvijestiti učenike, a na roditeljskome sastanku roditelje/zakonske zastupnike učenika (u daljnjem tekstu: roditelje) o odredbama ovoga pravilnika.</w:t>
      </w:r>
    </w:p>
    <w:p w14:paraId="56462FF5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Članak 3. (NN </w:t>
      </w:r>
      <w:hyperlink r:id="rId10" w:tgtFrame="_blank" w:history="1">
        <w:r w:rsidRPr="00835E53">
          <w:rPr>
            <w:rFonts w:ascii="Open Sans" w:eastAsia="Times New Roman" w:hAnsi="Open Sans" w:cs="Open Sans"/>
            <w:color w:val="0000FF"/>
            <w:sz w:val="21"/>
            <w:szCs w:val="21"/>
            <w:lang w:eastAsia="hr-HR"/>
          </w:rPr>
          <w:t>22/26</w:t>
        </w:r>
      </w:hyperlink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)</w:t>
      </w:r>
    </w:p>
    <w:p w14:paraId="5DAAB3BA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(1) Neprihvatljiva ponašanja na temelju kojih se izriču pedagoške mjere iz članka 1. stavka 5. ovoga pravilnika podijeljena su ovisno o težini na: lakša, teža, teška i osobito teška.</w:t>
      </w:r>
    </w:p>
    <w:p w14:paraId="78BDCBB8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lastRenderedPageBreak/>
        <w:t>(2) Lakšim neprihvatljivim ponašanjima iz stavka 1. ovoga članka smatra se:</w:t>
      </w:r>
    </w:p>
    <w:p w14:paraId="243D5A4A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a) ometanje odgojno-obrazovnoga rada (npr. izazivanje nereda, stvaranje buke, pričanje nakon usmene opomene učitelja/nastavnika ili dovikivanje tijekom odgojno-obrazovnoga rada);</w:t>
      </w:r>
    </w:p>
    <w:p w14:paraId="60BD99E1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b) onečišćenje školskoga prostora i okoliša (npr. bacanje smeća izvan koševa za otpatke);</w:t>
      </w:r>
    </w:p>
    <w:p w14:paraId="64C53423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c) oštećivanje imovine u prostorima škole ili na drugome mjestu gdje se održava odgojno-obrazovni rad nanošenjem manje štete (npr. šaranje, urezivanje u namještaj);</w:t>
      </w:r>
    </w:p>
    <w:p w14:paraId="7C6E1607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d) korištenje informacijsko-komunikacijskih uređaja u svim prostorima osnovne škole osim u edukativne, zdravstvene i druge svrhe uz odobrenje škole;</w:t>
      </w:r>
    </w:p>
    <w:p w14:paraId="264FF94A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e)  poticanje drugih učenika na lakša neprihvatljiva ponašanja;</w:t>
      </w:r>
    </w:p>
    <w:p w14:paraId="651B5157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f) uznemiravanje učenika ili radnika škole odnosno druge aktivnosti koje izazivaju nelagodu u drugih osoba, nakon što je učenik na to upozoren;</w:t>
      </w:r>
    </w:p>
    <w:p w14:paraId="640C5F0E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g) korištenje nedopuštenih izvora podataka u svrhu prepisivanja.</w:t>
      </w:r>
    </w:p>
    <w:p w14:paraId="49A77DDE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(3) Težim neprihvatljivim ponašanjima iz stavka 1. ovoga članka smatra se:</w:t>
      </w:r>
    </w:p>
    <w:p w14:paraId="39948910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a) ometanje odgojno-obrazovnoga rada na način da je onemogućeno njegovo daljnje izvođenje;</w:t>
      </w:r>
    </w:p>
    <w:p w14:paraId="125AF55F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b) povreda dostojanstva druge osobe omalovažavanjem, vrijeđanjem ili širenjem neistina i glasina o drugome učeniku ili radniku škole;</w:t>
      </w:r>
    </w:p>
    <w:p w14:paraId="4683E6B9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c) nedopušteno korištenje informacijsko-komunikacijskih uređaja tijekom odgojno-obrazovnoga rada;</w:t>
      </w:r>
    </w:p>
    <w:p w14:paraId="4D371D4D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d) poticanje drugih učenika na teža neprihvatljiva ponašanja;</w:t>
      </w:r>
    </w:p>
    <w:p w14:paraId="566BE17F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e) prikrivanje nasilnih oblika ponašanja drugih učenika;</w:t>
      </w:r>
    </w:p>
    <w:p w14:paraId="03B6ACC4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f) korištenje ili zlouporaba podataka drugog učenika iz pedagoške dokumentacije;</w:t>
      </w:r>
    </w:p>
    <w:p w14:paraId="120E96B3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g) klađenje ili kockanje u prostorima škole ili na drugome mjestu gdje se održava odgojno-obrazovni rad;</w:t>
      </w:r>
    </w:p>
    <w:p w14:paraId="54B80D0B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h) prisvajanje tuđe stvari.</w:t>
      </w:r>
    </w:p>
    <w:p w14:paraId="33D94BCB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(4) Teškim neprihvatljivim ponašanjima iz stavka 1. ovoga članka smatra se:</w:t>
      </w:r>
    </w:p>
    <w:p w14:paraId="323D7AB2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a) izazivanje i poticanje nasilnog ponašanja (npr. prenošenje netočnih informacija koje su povod za nasilno ponašanje, skandiranje prije ili tijekom nasilnog ponašanja, snimanje događaja koji uključuje nasilno ponašanje i slična ponašanja);</w:t>
      </w:r>
    </w:p>
    <w:p w14:paraId="7B98D13B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b) nasilno ponašanje koje nije rezultiralo težim posljedicama;</w:t>
      </w:r>
    </w:p>
    <w:p w14:paraId="309FCB15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c) krivotvorenje ispričnica ili ispitnih materijala;</w:t>
      </w:r>
    </w:p>
    <w:p w14:paraId="7D3EA7D6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d) neovlašteno korištenje tuđih podataka za pristup elektroničkim bazama podataka škole bez njihove izmjene;</w:t>
      </w:r>
    </w:p>
    <w:p w14:paraId="67B9BA52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e) krađa tuđe stvari;</w:t>
      </w:r>
    </w:p>
    <w:p w14:paraId="5B2DC61C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f) poticanje grupnoga govora mržnje;</w:t>
      </w:r>
    </w:p>
    <w:p w14:paraId="061616B6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g) uništavanje službene dokumentacije škole;</w:t>
      </w:r>
    </w:p>
    <w:p w14:paraId="1872053C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h) prisila drugog učenika na neprihvatljivo ponašanje ili iznuda drugog učenika (npr. iznuđivanje novca);</w:t>
      </w:r>
    </w:p>
    <w:p w14:paraId="693F7C5A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lastRenderedPageBreak/>
        <w:t>i) unošenje ili konzumiranje psihoaktivnih sredstava, alkohola i droge te drugih tvari koje su zakonima zabranjeni u prostor škole ili na drugo mjesto gdje se održava odgojno-obrazovni rad,</w:t>
      </w:r>
    </w:p>
    <w:p w14:paraId="43927352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j) dovođenje ili pomaganje prilikom dolaska neovlaštenim osobama koje su nanijele štetu osobama ili imovini u prostoru škole ili na drugome mjestu gdje se održava odgojno-obrazovni rad;</w:t>
      </w:r>
    </w:p>
    <w:p w14:paraId="645ED678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k) namjerno uništavanje imovine nanošenjem veće štete u prostoru škole ili na drugome mjestu gdje se održava odgojno-obrazovni rad;</w:t>
      </w:r>
    </w:p>
    <w:p w14:paraId="2556B6F3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l) udaranje, sudjelovanje u tučnjavi i druga ponašanja koja mogu ugroziti sigurnost samog učenika ili druge osobe, ali bez težih posljedica.</w:t>
      </w:r>
    </w:p>
    <w:p w14:paraId="0AB55DB3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(5) Osobito teškim neprihvatljivim ponašanjima iz stavka 1. ovoga članka smatra se:</w:t>
      </w:r>
    </w:p>
    <w:p w14:paraId="6AD85233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a) krivotvorenje pisane ili elektroničke službene dokumentacije škole;</w:t>
      </w:r>
    </w:p>
    <w:p w14:paraId="07D654E2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b) objavljivanje materijala elektroničkim ili drugim putem, a koji za posljedicu imaju povredu ugleda, časti i dostojanstva druge osobe;</w:t>
      </w:r>
    </w:p>
    <w:p w14:paraId="44831A5F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c) teška krađa odnosno krađa počinjena na opasan ili drzak način, obijanjem, provaljivanjem ili svladavanjem prepreka da se dođe do stvari;</w:t>
      </w:r>
    </w:p>
    <w:p w14:paraId="74979828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d) unošenje ili korištenje oružja ili opasnih predmeta u prostor škole ili na drugo mjesto gdje se održava odgojno-obrazovni rad;</w:t>
      </w:r>
    </w:p>
    <w:p w14:paraId="76B53B14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e) nasilno ponašanje koje je rezultiralo teškim emocionalnim ili fizičkim posljedicama za drugu osobu.</w:t>
      </w:r>
    </w:p>
    <w:p w14:paraId="21A8548C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Članak 4. (NN </w:t>
      </w:r>
      <w:hyperlink r:id="rId11" w:tgtFrame="_blank" w:history="1">
        <w:r w:rsidRPr="00835E53">
          <w:rPr>
            <w:rFonts w:ascii="Open Sans" w:eastAsia="Times New Roman" w:hAnsi="Open Sans" w:cs="Open Sans"/>
            <w:color w:val="0000FF"/>
            <w:sz w:val="21"/>
            <w:szCs w:val="21"/>
            <w:lang w:eastAsia="hr-HR"/>
          </w:rPr>
          <w:t>03/17</w:t>
        </w:r>
      </w:hyperlink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,  </w:t>
      </w:r>
      <w:hyperlink r:id="rId12" w:tgtFrame="_blank" w:history="1">
        <w:r w:rsidRPr="00835E53">
          <w:rPr>
            <w:rFonts w:ascii="Open Sans" w:eastAsia="Times New Roman" w:hAnsi="Open Sans" w:cs="Open Sans"/>
            <w:color w:val="0000FF"/>
            <w:sz w:val="21"/>
            <w:szCs w:val="21"/>
            <w:lang w:eastAsia="hr-HR"/>
          </w:rPr>
          <w:t>22/26</w:t>
        </w:r>
      </w:hyperlink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)</w:t>
      </w:r>
    </w:p>
    <w:p w14:paraId="51C03016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(1) Pedagoška mjera izriče se i zbog neopravdanih izostanaka s nastave.</w:t>
      </w:r>
    </w:p>
    <w:p w14:paraId="5501A2CB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(2) Izostanak s nastave, u slučaju pravodobnog zahtjeva roditelja, može odobriti:</w:t>
      </w:r>
    </w:p>
    <w:p w14:paraId="3ACF27AE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– učitelj/nastavnik za izostanak tijekom nastavnoga dana,</w:t>
      </w:r>
    </w:p>
    <w:p w14:paraId="38320133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– razrednik za izostanak do tri (pojedinačna ili uzastopna) radna dana,</w:t>
      </w:r>
    </w:p>
    <w:p w14:paraId="7164C3D6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– ravnatelj za izostanak do sedam (uzastopnih) radnih dana,</w:t>
      </w:r>
    </w:p>
    <w:p w14:paraId="41B9DF6E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– učiteljsko/nastavničko vijeće za izostanak do petnaest (uzastopnih) radnih dana.</w:t>
      </w:r>
    </w:p>
    <w:p w14:paraId="12BD4E03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(3) Roditelj može, više puta godišnje, opravdati izostanak svoga djeteta u trajanju do tri radna dana, a za koje nije pravodobno podnesen zahtjev za odobrenjem sukladno stavku 2. ovoga članka.</w:t>
      </w:r>
    </w:p>
    <w:p w14:paraId="036694C5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(4) Opravdanost izostanka s nastave zbog zdravstvenih razloga u trajanju duljem od tri radna dana uzastopno dokazuje se liječničkom potvrdom.</w:t>
      </w:r>
    </w:p>
    <w:p w14:paraId="11660E94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(5) Izostanak učenika s nastave može se opravdati i odgovarajućom potvrdom nadležne institucije, ustanove ili druge nadležne fizičke ili pravne osobe (Ministarstvo unutarnjih poslova, sud, nadležni centar za socijalnu skrb, ustanova u koju je učenik uključen zbog pružanja pomoći ili dijagnostike, škola s umjetničkim programima, škola stranih jezika, učenički dom, sportski klub, kulturno-umjetničko društvo, kazalište u koje je učenik uključen, specijalistička ordinacija u kojoj je obavljen pregled ili dijagnostička pretraga i drugo), uključujući i e-potvrdu o narudžbi za pregled u zdravstvenoj ustanovi.</w:t>
      </w:r>
    </w:p>
    <w:p w14:paraId="134A0269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(6) Neopravdanim izostankom smatra se izostanak koji nije odobren ili opravdan sukladno odredbama stavka 2., 3., 4. i 5. ovoga članka.</w:t>
      </w:r>
    </w:p>
    <w:p w14:paraId="194B23EE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lastRenderedPageBreak/>
        <w:t>(7) Izostanak učenika s nastave u osnovnoj školi zbog izražavanja nezadovoljstva i protesta učenika ili roditelja smatra se izostankom iz stavka 6. ovog članka i ne može se opravdati.</w:t>
      </w:r>
    </w:p>
    <w:p w14:paraId="72AE1442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(8) Ako osnovna škola ima informaciju da roditelji iz različitih razloga ne dopuštaju djetetu odlazak u školu, dužni su o tome obavijestiti nadležni područni ured Hrvatskog zavoda za socijalni rad.</w:t>
      </w:r>
    </w:p>
    <w:p w14:paraId="1B4C2E07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(9) Načini opravdavanja izostanaka učenika i primjereni rok javljanja o razlogu izostanka uređuju se statutom škole.</w:t>
      </w:r>
    </w:p>
    <w:p w14:paraId="548E745F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Članak 5.</w:t>
      </w:r>
    </w:p>
    <w:p w14:paraId="78133255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(1) U postupku izricanja pedagoških mjera učitelji/nastavnici, stručni suradnici i ravnatelj (u daljnjem tekstu: odgojno-obrazovni radnici) dužni su voditi računa o dobi učenika, njegovoj psihofizičkoj razvijenosti i osobinama, ranijem ponašanju, okolnostima koje utječu na učenikov razvoj, okolnostima u kojima se neprihvatljivo ponašanje dogodilo te drugim okolnostima.</w:t>
      </w:r>
    </w:p>
    <w:p w14:paraId="137ECE35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(2) Prije izricanja mjere učeniku se mora omogućiti savjetovanje s odgojno-obrazovnim radnikom te izjašnjavanje o činjenicama i okolnostima koje su važne za donošenje odluke o opravdanosti izricanja pedagoške mjere. Roditelj mora biti informiran o neprihvatljivom ponašanju, načinu prikupljanja informacija, prikupljenim informacijama koje su važne za donošenje odluke o izricanju pedagoške mjere.</w:t>
      </w:r>
    </w:p>
    <w:p w14:paraId="02B98D51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(3) Mjera se može izreći i bez izjašnjavanja učenika ako se učenik bez opravdanoga razloga ne odazove pozivu razrednika ili druge ovlaštene osobe.</w:t>
      </w:r>
    </w:p>
    <w:p w14:paraId="236F0989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(4) Mjera se može izreći i bez informiranja roditelja, što je propisano stavkom 2. ovoga članka, ako se roditelj ne odazove ni pisanom pozivu na razgovor.</w:t>
      </w:r>
    </w:p>
    <w:p w14:paraId="75CD8D95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(5) Pedagoška mjera opomene i ukora mora se izreći najkasnije u roku od 15 dana od dana saznanja za neprihvatljivo ponašanje učenika zbog kojeg se izriče.</w:t>
      </w:r>
    </w:p>
    <w:p w14:paraId="69BD828A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(6) Pedagoška mjera strogog ukora učeniku osnovne škole, odnosno opomene pred isključenje učeniku srednje škole, mora se izreći najkasnije u roku od 30 dana od dana saznanja za neprihvatljivo ponašanje učenika zbog kojeg se izriče.</w:t>
      </w:r>
    </w:p>
    <w:p w14:paraId="2645DA40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(7) Pedagoška mjera preseljenja u drugu školu učeniku osnovne škole, odnosno isključenja iz srednje škole, mora se izreći najkasnije u roku od 60 dana od dana saznanja za neprihvatljivo ponašanje učenika zbog kojeg se izriče.</w:t>
      </w:r>
    </w:p>
    <w:p w14:paraId="60D2953A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(8) Pedagoška mjera mora se izreći u roku od 15 dana ako je učenik rješenjem ravnatelja privremeno udaljen iz odgojno-obrazovnog procesa. Vrijeme privremenog udaljavanja iz odgojno-obrazovnog procesa ne smatra se neopravdanim izostankom učenika.</w:t>
      </w:r>
    </w:p>
    <w:p w14:paraId="09B3B2F5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Članak 6.</w:t>
      </w:r>
    </w:p>
    <w:p w14:paraId="4DE50F29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(1) Svako izricanje pedagoške mjere temelji se na bilješkama iz pedagoške dokumentacije i/ili službenim bilješkama stručnih suradnika i/ili ravnatelja, a ako je potrebno i na mišljenjima drugih nadležnih institucija.</w:t>
      </w:r>
    </w:p>
    <w:p w14:paraId="67836D89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(2) Prije izricanja pedagoške mjere odgojno-obrazovni radnici škole dužni su međusobno se konzultirati, kontaktirati roditelja učenika, a ako je potrebno mogu se konzultirati i sa školskim liječnikom, drugim stručnjakom ili nadležnim centrom za socijalnu skrb radi upoznavanja osobina i mogućnosti učenika te uklanjanja uzroka koji sprečavaju ili otežavaju njihov pravilan razvoj kako bi se ublažili rizični i pojačali zaštitni čimbenici u razvoju učenika.</w:t>
      </w:r>
    </w:p>
    <w:p w14:paraId="380E1236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 xml:space="preserve">(3) U obrazloženju pedagoške mjere navest će se mjesto, vrijeme i način na koji je došlo do neprihvatljivog ponašanja te posljedice koje su nastupile ili su mogle nastupiti. Obrazloženje </w:t>
      </w: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lastRenderedPageBreak/>
        <w:t>mora sadržavati i podatke o prethodno poduzetim preventivnim mjerama te prijedloge za pružanje pomoći i potpore učeniku s ciljem otklanjanja uzroka neprihvatljivog ponašanja.</w:t>
      </w:r>
    </w:p>
    <w:p w14:paraId="0EDD7B9C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Članak 7.</w:t>
      </w:r>
    </w:p>
    <w:p w14:paraId="61DBC8EA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(1) Pedagoška mjera opomene izriče se nakon drugog evidentiranog lakšeg neprihvatljivog ponašanja iz članka 3. stavka 2. ovoga pravilnika ili u slučaju da je učenik neopravdano izostao više od 0,5% nastavnih sati od ukupnoga broja sati u koje je trebao biti uključen tijekom nastavne godine.</w:t>
      </w:r>
    </w:p>
    <w:p w14:paraId="47B7B085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(2) Pedagoška mjera ukora izriče se zbog težeg neprihvatljivog ponašanja iz članka 3. stavka 3. ovoga pravilnika ili u slučaju da je učenik neopravdano izostao više od 1% nastavnih sati od ukupnoga broja sati u koje je trebao biti uključen tijekom nastavne godine.</w:t>
      </w:r>
    </w:p>
    <w:p w14:paraId="6CFBAD4A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(3) Pedagoška mjera strogog ukora za učenika osnovne škole, odnosno opomena pred isključenje za učenika srednje škole, izriče se zbog teškog neprihvatljivog ponašanja iz članka 3. stavka 4. ovoga pravilnika ili u slučaju da je učenik neopravdano izostao više od 1,5% nastavnih sati od ukupnoga broja sati u koje je trebao biti uključen tijekom nastavne godine.</w:t>
      </w:r>
    </w:p>
    <w:p w14:paraId="0E33DAF5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(4) Pedagoška mjera preseljenja u drugu školu za učenika osnovne škole, odnosno isključenje iz škole za učenika srednje škole, izriče se zbog osobito teškog neprihvatljivog ponašanja iz članka 3. stavka 5. ovoga pravilnika ili u slučaju da je učenik neopravdano izostao više od 2% nastavnih sati od ukupnoga broja sati u koje je trebao biti uključen tijekom nastavne godine.</w:t>
      </w:r>
    </w:p>
    <w:p w14:paraId="7663B235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Članak 8. (NN </w:t>
      </w:r>
      <w:hyperlink r:id="rId13" w:tgtFrame="_blank" w:history="1">
        <w:r w:rsidRPr="00835E53">
          <w:rPr>
            <w:rFonts w:ascii="Open Sans" w:eastAsia="Times New Roman" w:hAnsi="Open Sans" w:cs="Open Sans"/>
            <w:sz w:val="21"/>
            <w:szCs w:val="21"/>
            <w:lang w:eastAsia="hr-HR"/>
          </w:rPr>
          <w:t>22/26</w:t>
        </w:r>
      </w:hyperlink>
      <w:r w:rsidRPr="00835E53">
        <w:rPr>
          <w:rFonts w:ascii="Open Sans" w:eastAsia="Times New Roman" w:hAnsi="Open Sans" w:cs="Open Sans"/>
          <w:sz w:val="21"/>
          <w:szCs w:val="21"/>
          <w:lang w:eastAsia="hr-HR"/>
        </w:rPr>
        <w:t>)</w:t>
      </w:r>
    </w:p>
    <w:p w14:paraId="69B886D9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(1) Učeniku kojemu je već izrečena pedagoška mjera iz članka 7. stavka 1. ili 2. ovoga pravilnika ponavlja se prethodno izrečena pedagoška mjera u slučaju neprihvatljivog ponašanja manje ili iste težine za koje mu još nije izrečena pedagoška mjera. Ista pedagoška mjera može se izreći najviše dva puta tijekom školske godine. U slučaju da se učenik ponovno neprihvatljivo ponaša, izriče se pedagoška mjera sljedeće težine.</w:t>
      </w:r>
    </w:p>
    <w:p w14:paraId="671A2CBD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(2) Učeniku kojemu je već izrečena jedna od pedagoških mjera iz članka 7. stavka 1. ili 2. ovoga pravilnika izriče se sljedeća teža mjera u slučaju ponavljanja neprihvatljivog ponašanja za koju mu je već izrečena pedagoška mjera.</w:t>
      </w:r>
    </w:p>
    <w:p w14:paraId="72333CCD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(3) Učeniku kojemu je već izrečena pedagoška mjera iz članka 7. stavka 3. ovoga pravilnika izriče se pedagoška mjera iz članka 7. stavka 4. ovoga pravilnika u slučaju bilo kojega neprihvatljivog ponašanja iz članka 3. stavka 4. ovoga pravilnika, odnosno dva neprihvatljiva ponašanja iz članka 3. stavka 2 i 3. ovoga pravilnika.</w:t>
      </w:r>
    </w:p>
    <w:p w14:paraId="32B08520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(4) Učeniku osnovne škole kojem je izrečena pedagoška mjera preseljenja u drugu školu, a koji se i dalje neprimjereno ponaša, može se, sukladno odredbama ovog pravilnika izreći pedagoška mjera izuzev mjere preseljenja u drugu školu.</w:t>
      </w:r>
    </w:p>
    <w:p w14:paraId="38EFF1D2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(5) O izricanju pedagoške mjere iz članka 7. stavka 3. i 4. ovoga Pravilnika učeniku osnovne i srednje škole, škola je dužna poslati obavijest nadležnom područnom uredu Hrvatskog zavoda za socijalni rad te zatražiti izvještaj o poduzetim radnjama kako bi ista mogla prilagoditi stručni rad s učenikom.</w:t>
      </w:r>
    </w:p>
    <w:p w14:paraId="681CCCEB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Članak 9.</w:t>
      </w:r>
    </w:p>
    <w:p w14:paraId="33EE4616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Škole su dužne uskladiti odredbe statuta s odredbama ovoga pravilnika u roku od 60 dana od dana njegova stupanja na snagu.</w:t>
      </w:r>
    </w:p>
    <w:p w14:paraId="5703975A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Članak 10.</w:t>
      </w:r>
    </w:p>
    <w:p w14:paraId="3FD23DF9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Ovaj pravilnik stupa na snagu osmoga dana od dana objave u »Narodnim novinama«.</w:t>
      </w:r>
    </w:p>
    <w:p w14:paraId="7FA050F8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lastRenderedPageBreak/>
        <w:t>Prijelazne i završne odredbe iz NN 03/17</w:t>
      </w:r>
    </w:p>
    <w:p w14:paraId="444F404A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Članak 2.</w:t>
      </w:r>
    </w:p>
    <w:p w14:paraId="2F623D03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Ovaj pravilnik stupa na snagu osmoga dana od dana objave u »Narodnim novinama«.</w:t>
      </w:r>
    </w:p>
    <w:p w14:paraId="66CB65AB" w14:textId="77777777" w:rsidR="00835E53" w:rsidRPr="00835E53" w:rsidRDefault="00835E53" w:rsidP="00835E53">
      <w:pPr>
        <w:spacing w:after="135" w:line="240" w:lineRule="auto"/>
        <w:jc w:val="center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Članak 4.</w:t>
      </w:r>
    </w:p>
    <w:p w14:paraId="24083933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Škole su dužne uskladiti odredbe statuta s odredbama ovoga pravilnika u roku od 90 dana od dana njegova stupanja na snagu.</w:t>
      </w:r>
    </w:p>
    <w:p w14:paraId="6A871877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 </w:t>
      </w:r>
    </w:p>
    <w:p w14:paraId="5BC27D3F" w14:textId="77777777" w:rsidR="00835E53" w:rsidRPr="00835E53" w:rsidRDefault="00835E53" w:rsidP="00835E53">
      <w:pPr>
        <w:spacing w:after="135" w:line="240" w:lineRule="auto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835E53"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  <w:t> </w:t>
      </w:r>
    </w:p>
    <w:sectPr w:rsidR="00835E53" w:rsidRPr="00835E53" w:rsidSect="00835E5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6552A"/>
    <w:multiLevelType w:val="multilevel"/>
    <w:tmpl w:val="D81E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71"/>
    <w:rsid w:val="00335942"/>
    <w:rsid w:val="00392F02"/>
    <w:rsid w:val="00835E53"/>
    <w:rsid w:val="00DD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FA5B"/>
  <w15:chartTrackingRefBased/>
  <w15:docId w15:val="{32719490-20F2-4803-A702-AA991638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835E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35E5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835E53"/>
    <w:rPr>
      <w:color w:val="0000FF"/>
      <w:u w:val="single"/>
    </w:rPr>
  </w:style>
  <w:style w:type="character" w:customStyle="1" w:styleId="nav-headline">
    <w:name w:val="nav-headline"/>
    <w:basedOn w:val="Zadanifontodlomka"/>
    <w:rsid w:val="00835E53"/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835E5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835E53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835E5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835E53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835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35E53"/>
    <w:rPr>
      <w:b/>
      <w:bCs/>
    </w:rPr>
  </w:style>
  <w:style w:type="paragraph" w:customStyle="1" w:styleId="box482877">
    <w:name w:val="box_482877"/>
    <w:basedOn w:val="Normal"/>
    <w:rsid w:val="00835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xt-center">
    <w:name w:val="text-center"/>
    <w:basedOn w:val="Normal"/>
    <w:rsid w:val="00835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4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1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7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05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3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0074289">
          <w:marLeft w:val="3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6466">
              <w:marLeft w:val="0"/>
              <w:marRight w:val="14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1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18179" TargetMode="External"/><Relationship Id="rId13" Type="http://schemas.openxmlformats.org/officeDocument/2006/relationships/hyperlink" Target="https://www.zakon.hr/c/podzakonski-propis/674636/nn-22-2026-%285.3.2026.%29%2C-pravilnik-o-izmjenama-i-dopunama-pravilnika-o-kriterijima-za-izricanje-pedagoskih-mjer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13405" TargetMode="External"/><Relationship Id="rId12" Type="http://schemas.openxmlformats.org/officeDocument/2006/relationships/hyperlink" Target="https://www.zakon.hr/c/podzakonski-propis/674636/nn-22-2026-%285.3.2026.%29%2C-pravilnik-o-izmjenama-i-dopunama-pravilnika-o-kriterijima-za-izricanje-pedagoskih-mje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hr/z/317/Zakon-o-odgoju-i-obrazovanju-u-osnovnoj-i-srednjoj-%C5%A1koli" TargetMode="External"/><Relationship Id="rId11" Type="http://schemas.openxmlformats.org/officeDocument/2006/relationships/hyperlink" Target="https://www.zakon.hr/cms.htm?id=18179" TargetMode="External"/><Relationship Id="rId5" Type="http://schemas.openxmlformats.org/officeDocument/2006/relationships/hyperlink" Target="https://www.zakon.hr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zakon.hr/c/podzakonski-propis/674636/nn-22-2026-%285.3.2026.%29%2C-pravilnik-o-izmjenama-i-dopunama-pravilnika-o-kriterijima-za-izricanje-pedagoskih-mje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/podzakonski-propis/674636/nn-22-2026-%285.3.2026.%29%2C-pravilnik-o-izmjenama-i-dopunama-pravilnika-o-kriterijima-za-izricanje-pedagoskih-mjer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2310</Words>
  <Characters>13173</Characters>
  <Application>Microsoft Office Word</Application>
  <DocSecurity>0</DocSecurity>
  <Lines>109</Lines>
  <Paragraphs>30</Paragraphs>
  <ScaleCrop>false</ScaleCrop>
  <Company/>
  <LinksUpToDate>false</LinksUpToDate>
  <CharactersWithSpaces>15453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2026-09-01T11:12:00Z</dcterms:created>
  <dcterms:modified xsi:type="dcterms:W3CDTF">2026-09-01T11:13:00Z</dcterms:modified>
</cp:coreProperties>
</file>