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E5" w:rsidRDefault="002C7F03">
      <w:pPr>
        <w:jc w:val="center"/>
        <w:rPr>
          <w:rFonts w:ascii="Times New Roman" w:hAnsi="Times New Roman"/>
          <w:color w:val="CC0000"/>
          <w:sz w:val="48"/>
          <w:szCs w:val="48"/>
        </w:rPr>
      </w:pPr>
      <w:bookmarkStart w:id="0" w:name="_GoBack"/>
      <w:r>
        <w:rPr>
          <w:rFonts w:ascii="Times New Roman" w:hAnsi="Times New Roman"/>
          <w:color w:val="CC0000"/>
          <w:sz w:val="48"/>
          <w:szCs w:val="48"/>
        </w:rPr>
        <w:t>OBILEŽAVANJE 89. GODIŠNJICE SMRTI</w:t>
      </w:r>
      <w:r>
        <w:rPr>
          <w:rFonts w:ascii="Times New Roman" w:hAnsi="Times New Roman"/>
          <w:color w:val="CC0000"/>
          <w:sz w:val="48"/>
          <w:szCs w:val="48"/>
        </w:rPr>
        <w:br/>
      </w:r>
      <w:r>
        <w:rPr>
          <w:rFonts w:ascii="Times New Roman" w:hAnsi="Times New Roman"/>
          <w:color w:val="CC0000"/>
          <w:sz w:val="48"/>
          <w:szCs w:val="48"/>
        </w:rPr>
        <w:t>VLADIMIRA GORTANA</w:t>
      </w:r>
    </w:p>
    <w:bookmarkEnd w:id="0"/>
    <w:p w:rsidR="006E76E5" w:rsidRDefault="006E76E5">
      <w:pPr>
        <w:rPr>
          <w:rFonts w:ascii="Times New Roman" w:hAnsi="Times New Roman"/>
          <w:sz w:val="32"/>
          <w:szCs w:val="32"/>
        </w:rPr>
      </w:pPr>
    </w:p>
    <w:p w:rsidR="006E76E5" w:rsidRDefault="002C7F03">
      <w:pPr>
        <w:pStyle w:val="StandardWeb"/>
        <w:shd w:val="clear" w:color="auto" w:fill="FFFFFF"/>
        <w:spacing w:before="120" w:after="120"/>
      </w:pPr>
      <w:r>
        <w:rPr>
          <w:color w:val="CC0000"/>
          <w:sz w:val="32"/>
          <w:szCs w:val="32"/>
        </w:rPr>
        <w:t>VLADIMIR GORTAN:</w:t>
      </w:r>
      <w:r>
        <w:rPr>
          <w:sz w:val="32"/>
          <w:szCs w:val="32"/>
        </w:rPr>
        <w:br/>
      </w:r>
      <w:r>
        <w:rPr>
          <w:sz w:val="21"/>
          <w:szCs w:val="21"/>
        </w:rPr>
        <w:t>Vladimir Gortan rodio se u Bermu kraj Pazina 1904. godine. Po zanimanju je bio poljodjelac. Od </w:t>
      </w:r>
      <w:hyperlink r:id="rId7" w:tooltip="1928." w:history="1">
        <w:r>
          <w:rPr>
            <w:rStyle w:val="Hiperveza"/>
            <w:color w:val="auto"/>
            <w:sz w:val="21"/>
            <w:szCs w:val="21"/>
            <w:u w:val="none"/>
          </w:rPr>
          <w:t>1928.</w:t>
        </w:r>
      </w:hyperlink>
      <w:r>
        <w:rPr>
          <w:sz w:val="21"/>
          <w:szCs w:val="21"/>
        </w:rPr>
        <w:t> godine bio je član tajne </w:t>
      </w:r>
      <w:hyperlink r:id="rId8" w:tooltip="Antifašizam" w:history="1">
        <w:r>
          <w:rPr>
            <w:rStyle w:val="Hiperveza"/>
            <w:color w:val="auto"/>
            <w:sz w:val="21"/>
            <w:szCs w:val="21"/>
            <w:u w:val="none"/>
          </w:rPr>
          <w:t>antifašističke</w:t>
        </w:r>
      </w:hyperlink>
      <w:r>
        <w:rPr>
          <w:sz w:val="21"/>
          <w:szCs w:val="21"/>
        </w:rPr>
        <w:t> organizacije </w:t>
      </w:r>
      <w:hyperlink r:id="rId9" w:tooltip="TIGR" w:history="1">
        <w:r>
          <w:rPr>
            <w:rStyle w:val="Hiperveza"/>
            <w:color w:val="auto"/>
            <w:sz w:val="21"/>
            <w:szCs w:val="21"/>
            <w:u w:val="none"/>
          </w:rPr>
          <w:t>TIGR</w:t>
        </w:r>
      </w:hyperlink>
      <w:r>
        <w:rPr>
          <w:sz w:val="21"/>
          <w:szCs w:val="21"/>
        </w:rPr>
        <w:t> (Trst-Istra-Gorica-Rijeka), koja je organizirala demonstracije i druge akcije protiv nasilne </w:t>
      </w:r>
      <w:hyperlink r:id="rId10" w:tooltip="Talijanizacija" w:history="1">
        <w:r>
          <w:rPr>
            <w:rStyle w:val="Hiperveza"/>
            <w:color w:val="auto"/>
            <w:sz w:val="21"/>
            <w:szCs w:val="21"/>
            <w:u w:val="none"/>
          </w:rPr>
          <w:t>talijanizacije</w:t>
        </w:r>
      </w:hyperlink>
      <w:r>
        <w:rPr>
          <w:sz w:val="21"/>
          <w:szCs w:val="21"/>
        </w:rPr>
        <w:t> u </w:t>
      </w:r>
      <w:hyperlink r:id="rId11" w:tooltip="Istra" w:history="1">
        <w:r>
          <w:rPr>
            <w:rStyle w:val="Hiperveza"/>
            <w:color w:val="auto"/>
            <w:sz w:val="21"/>
            <w:szCs w:val="21"/>
            <w:u w:val="none"/>
          </w:rPr>
          <w:t>Istri</w:t>
        </w:r>
      </w:hyperlink>
      <w:r>
        <w:rPr>
          <w:sz w:val="21"/>
          <w:szCs w:val="21"/>
        </w:rPr>
        <w:t> i radi priključenja područja Trsta, Gorice, Istre i Rijeke Sloveniji i Hrvatskoj. Na dan </w:t>
      </w:r>
      <w:hyperlink r:id="rId12" w:tooltip="Plebiscit" w:history="1">
        <w:r>
          <w:rPr>
            <w:rStyle w:val="Hiperveza"/>
            <w:color w:val="auto"/>
            <w:sz w:val="21"/>
            <w:szCs w:val="21"/>
            <w:u w:val="none"/>
          </w:rPr>
          <w:t>plebiscita</w:t>
        </w:r>
      </w:hyperlink>
      <w:r>
        <w:rPr>
          <w:sz w:val="21"/>
          <w:szCs w:val="21"/>
        </w:rPr>
        <w:t>, </w:t>
      </w:r>
      <w:hyperlink r:id="rId13" w:tooltip="24. ožujka" w:history="1">
        <w:r>
          <w:rPr>
            <w:rStyle w:val="Hiperveza"/>
            <w:color w:val="auto"/>
            <w:sz w:val="21"/>
            <w:szCs w:val="21"/>
            <w:u w:val="none"/>
          </w:rPr>
          <w:t>24. ožujka</w:t>
        </w:r>
      </w:hyperlink>
      <w:r>
        <w:rPr>
          <w:sz w:val="21"/>
          <w:szCs w:val="21"/>
        </w:rPr>
        <w:t> </w:t>
      </w:r>
      <w:hyperlink r:id="rId14" w:tooltip="1929." w:history="1">
        <w:r>
          <w:rPr>
            <w:rStyle w:val="Hiperveza"/>
            <w:color w:val="auto"/>
            <w:sz w:val="21"/>
            <w:szCs w:val="21"/>
            <w:u w:val="none"/>
          </w:rPr>
          <w:t>1929.</w:t>
        </w:r>
      </w:hyperlink>
      <w:r>
        <w:rPr>
          <w:sz w:val="21"/>
          <w:szCs w:val="21"/>
        </w:rPr>
        <w:t> godine sudjelovao je u oružanoj akciji ometanja nasilno provedenog plebiscita, pokazujući kako Istra nije </w:t>
      </w:r>
      <w:hyperlink r:id="rId15" w:tooltip="Pacifizam" w:history="1">
        <w:r>
          <w:rPr>
            <w:rStyle w:val="Hiperveza"/>
            <w:color w:val="auto"/>
            <w:sz w:val="21"/>
            <w:szCs w:val="21"/>
            <w:u w:val="none"/>
          </w:rPr>
          <w:t>pacificirana</w:t>
        </w:r>
      </w:hyperlink>
      <w:r>
        <w:rPr>
          <w:sz w:val="21"/>
          <w:szCs w:val="21"/>
        </w:rPr>
        <w:t> i </w:t>
      </w:r>
      <w:hyperlink r:id="rId16" w:tooltip="Denacionalizacija" w:history="1">
        <w:r>
          <w:rPr>
            <w:rStyle w:val="Hiperveza"/>
            <w:color w:val="auto"/>
            <w:sz w:val="21"/>
            <w:szCs w:val="21"/>
            <w:u w:val="none"/>
          </w:rPr>
          <w:t>denacionalizirana</w:t>
        </w:r>
      </w:hyperlink>
      <w:r>
        <w:rPr>
          <w:sz w:val="21"/>
          <w:szCs w:val="21"/>
        </w:rPr>
        <w:t>.</w:t>
      </w:r>
    </w:p>
    <w:p w:rsidR="006E76E5" w:rsidRDefault="002C7F03">
      <w:pPr>
        <w:pStyle w:val="StandardWeb"/>
        <w:shd w:val="clear" w:color="auto" w:fill="FFFFFF"/>
        <w:spacing w:before="120" w:after="120"/>
      </w:pPr>
      <w:r>
        <w:rPr>
          <w:noProof/>
          <w:sz w:val="21"/>
          <w:szCs w:val="21"/>
        </w:rPr>
        <w:drawing>
          <wp:anchor distT="0" distB="0" distL="114300" distR="114300" simplePos="0" relativeHeight="251658240" behindDoc="0" locked="0" layoutInCell="1" allowOverlap="1">
            <wp:simplePos x="0" y="0"/>
            <wp:positionH relativeFrom="column">
              <wp:posOffset>1895478</wp:posOffset>
            </wp:positionH>
            <wp:positionV relativeFrom="paragraph">
              <wp:posOffset>707388</wp:posOffset>
            </wp:positionV>
            <wp:extent cx="2667003" cy="2667003"/>
            <wp:effectExtent l="0" t="0" r="0" b="0"/>
            <wp:wrapNone/>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67003" cy="2667003"/>
                    </a:xfrm>
                    <a:prstGeom prst="rect">
                      <a:avLst/>
                    </a:prstGeom>
                    <a:noFill/>
                    <a:ln>
                      <a:noFill/>
                      <a:prstDash/>
                    </a:ln>
                  </pic:spPr>
                </pic:pic>
              </a:graphicData>
            </a:graphic>
          </wp:anchor>
        </w:drawing>
      </w:r>
      <w:r>
        <w:rPr>
          <w:sz w:val="21"/>
          <w:szCs w:val="21"/>
        </w:rPr>
        <w:t>Uhvaćen je u bijegu s još četvoricom sudionika, te su svi odvedeni u </w:t>
      </w:r>
      <w:hyperlink r:id="rId18" w:tooltip="Rim" w:history="1">
        <w:r>
          <w:rPr>
            <w:rStyle w:val="Hiperveza"/>
            <w:color w:val="auto"/>
            <w:sz w:val="21"/>
            <w:szCs w:val="21"/>
            <w:u w:val="none"/>
          </w:rPr>
          <w:t>Rim</w:t>
        </w:r>
      </w:hyperlink>
      <w:r>
        <w:rPr>
          <w:sz w:val="21"/>
          <w:szCs w:val="21"/>
        </w:rPr>
        <w:t>. Ondje je Gortan mučen. Poslije će mu biti priređeno suđenje na kojem će mu biti izrečena smrtna kazna ne bi li se tako zastrašilo istarske Hrvate. Specijalni sud za zaštitu države preselio se i</w:t>
      </w:r>
      <w:r>
        <w:rPr>
          <w:sz w:val="21"/>
          <w:szCs w:val="21"/>
        </w:rPr>
        <w:t>z Rima u Pulu gdje je u današnjoj školi na brdu Sv. Martin od </w:t>
      </w:r>
      <w:hyperlink r:id="rId19" w:tooltip="14. listopada" w:history="1">
        <w:r>
          <w:rPr>
            <w:rStyle w:val="Hiperveza"/>
            <w:color w:val="auto"/>
            <w:sz w:val="21"/>
            <w:szCs w:val="21"/>
            <w:u w:val="none"/>
          </w:rPr>
          <w:t>14.</w:t>
        </w:r>
      </w:hyperlink>
      <w:r>
        <w:rPr>
          <w:sz w:val="21"/>
          <w:szCs w:val="21"/>
        </w:rPr>
        <w:t> do </w:t>
      </w:r>
      <w:hyperlink r:id="rId20" w:tooltip="16. listopada" w:history="1">
        <w:r>
          <w:rPr>
            <w:rStyle w:val="Hiperveza"/>
            <w:color w:val="auto"/>
            <w:sz w:val="21"/>
            <w:szCs w:val="21"/>
            <w:u w:val="none"/>
          </w:rPr>
          <w:t>16. listopada</w:t>
        </w:r>
      </w:hyperlink>
      <w:r>
        <w:rPr>
          <w:sz w:val="21"/>
          <w:szCs w:val="21"/>
        </w:rPr>
        <w:t xml:space="preserve"> 1929. godine </w:t>
      </w:r>
      <w:r>
        <w:rPr>
          <w:sz w:val="21"/>
          <w:szCs w:val="21"/>
        </w:rPr>
        <w:t>održan proces na kojemu je tužitelj tražio smrtnu kaznu za svu petoricu okrivljenih. Umro je u</w:t>
      </w:r>
      <w:r>
        <w:rPr>
          <w:color w:val="222222"/>
          <w:sz w:val="21"/>
          <w:szCs w:val="21"/>
          <w:shd w:val="clear" w:color="auto" w:fill="FFFFFF"/>
        </w:rPr>
        <w:t> </w:t>
      </w:r>
      <w:hyperlink r:id="rId21" w:tooltip="Pula" w:history="1">
        <w:r>
          <w:rPr>
            <w:rStyle w:val="Hiperveza"/>
            <w:color w:val="auto"/>
            <w:sz w:val="21"/>
            <w:szCs w:val="21"/>
            <w:u w:val="none"/>
            <w:shd w:val="clear" w:color="auto" w:fill="FFFFFF"/>
          </w:rPr>
          <w:t>Puli</w:t>
        </w:r>
      </w:hyperlink>
      <w:r>
        <w:rPr>
          <w:sz w:val="21"/>
          <w:szCs w:val="21"/>
          <w:shd w:val="clear" w:color="auto" w:fill="FFFFFF"/>
        </w:rPr>
        <w:t>, </w:t>
      </w:r>
      <w:hyperlink r:id="rId22" w:tooltip="17. listopada" w:history="1">
        <w:r>
          <w:rPr>
            <w:rStyle w:val="Hiperveza"/>
            <w:color w:val="auto"/>
            <w:sz w:val="21"/>
            <w:szCs w:val="21"/>
            <w:u w:val="none"/>
            <w:shd w:val="clear" w:color="auto" w:fill="FFFFFF"/>
          </w:rPr>
          <w:t>17. listopada</w:t>
        </w:r>
      </w:hyperlink>
      <w:r>
        <w:rPr>
          <w:sz w:val="21"/>
          <w:szCs w:val="21"/>
          <w:shd w:val="clear" w:color="auto" w:fill="FFFFFF"/>
        </w:rPr>
        <w:t> </w:t>
      </w:r>
      <w:hyperlink r:id="rId23" w:tooltip="1929." w:history="1">
        <w:r>
          <w:rPr>
            <w:rStyle w:val="Hiperveza"/>
            <w:color w:val="auto"/>
            <w:sz w:val="21"/>
            <w:szCs w:val="21"/>
            <w:u w:val="none"/>
            <w:shd w:val="clear" w:color="auto" w:fill="FFFFFF"/>
          </w:rPr>
          <w:t>1929.</w:t>
        </w:r>
      </w:hyperlink>
      <w:r>
        <w:t>godine.</w:t>
      </w:r>
    </w:p>
    <w:p w:rsidR="006E76E5" w:rsidRDefault="006E76E5">
      <w:pPr>
        <w:rPr>
          <w:rFonts w:ascii="Times New Roman" w:hAnsi="Times New Roman"/>
          <w:sz w:val="32"/>
          <w:szCs w:val="32"/>
        </w:rPr>
      </w:pPr>
    </w:p>
    <w:p w:rsidR="006E76E5" w:rsidRDefault="002C7F03">
      <w:r>
        <w:rPr>
          <w:rFonts w:ascii="Times New Roman" w:hAnsi="Times New Roman"/>
          <w:noProof/>
          <w:sz w:val="32"/>
          <w:szCs w:val="32"/>
          <w:lang w:eastAsia="hr-HR"/>
        </w:rPr>
        <w:drawing>
          <wp:anchor distT="0" distB="0" distL="114300" distR="114300" simplePos="0" relativeHeight="251659264" behindDoc="0" locked="0" layoutInCell="1" allowOverlap="1">
            <wp:simplePos x="0" y="0"/>
            <wp:positionH relativeFrom="column">
              <wp:posOffset>2647946</wp:posOffset>
            </wp:positionH>
            <wp:positionV relativeFrom="paragraph">
              <wp:posOffset>71122</wp:posOffset>
            </wp:positionV>
            <wp:extent cx="1200150" cy="1485900"/>
            <wp:effectExtent l="0" t="0" r="0" b="0"/>
            <wp:wrapNone/>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00150" cy="1485900"/>
                    </a:xfrm>
                    <a:prstGeom prst="rect">
                      <a:avLst/>
                    </a:prstGeom>
                    <a:noFill/>
                    <a:ln>
                      <a:noFill/>
                      <a:prstDash/>
                    </a:ln>
                  </pic:spPr>
                </pic:pic>
              </a:graphicData>
            </a:graphic>
          </wp:anchor>
        </w:drawing>
      </w:r>
    </w:p>
    <w:p w:rsidR="006E76E5" w:rsidRDefault="006E76E5">
      <w:pPr>
        <w:rPr>
          <w:rFonts w:ascii="Times New Roman" w:hAnsi="Times New Roman"/>
          <w:sz w:val="32"/>
          <w:szCs w:val="32"/>
        </w:rPr>
      </w:pPr>
    </w:p>
    <w:p w:rsidR="006E76E5" w:rsidRDefault="006E76E5">
      <w:pPr>
        <w:rPr>
          <w:rFonts w:ascii="Times New Roman" w:hAnsi="Times New Roman"/>
          <w:sz w:val="32"/>
          <w:szCs w:val="32"/>
        </w:rPr>
      </w:pPr>
    </w:p>
    <w:p w:rsidR="006E76E5" w:rsidRDefault="006E76E5">
      <w:pPr>
        <w:rPr>
          <w:rFonts w:ascii="Times New Roman" w:hAnsi="Times New Roman"/>
          <w:sz w:val="32"/>
          <w:szCs w:val="32"/>
        </w:rPr>
      </w:pPr>
    </w:p>
    <w:p w:rsidR="006E76E5" w:rsidRDefault="006E76E5">
      <w:pPr>
        <w:rPr>
          <w:rFonts w:ascii="Times New Roman" w:hAnsi="Times New Roman"/>
          <w:sz w:val="32"/>
          <w:szCs w:val="32"/>
        </w:rPr>
      </w:pPr>
    </w:p>
    <w:p w:rsidR="006E76E5" w:rsidRDefault="006E76E5">
      <w:pPr>
        <w:rPr>
          <w:rFonts w:ascii="Times New Roman" w:hAnsi="Times New Roman"/>
          <w:color w:val="CC0000"/>
          <w:sz w:val="32"/>
          <w:szCs w:val="32"/>
        </w:rPr>
      </w:pPr>
    </w:p>
    <w:p w:rsidR="006E76E5" w:rsidRDefault="002C7F03">
      <w:r>
        <w:rPr>
          <w:rFonts w:ascii="Times New Roman" w:hAnsi="Times New Roman"/>
          <w:color w:val="CC0000"/>
          <w:sz w:val="32"/>
          <w:szCs w:val="32"/>
        </w:rPr>
        <w:t>OBILJEŽAVNJE NJEGOVE  GODIŠNJICE SMRTI:</w:t>
      </w:r>
      <w:r>
        <w:rPr>
          <w:rFonts w:ascii="Times New Roman" w:hAnsi="Times New Roman"/>
          <w:color w:val="CC0000"/>
          <w:sz w:val="32"/>
          <w:szCs w:val="32"/>
        </w:rPr>
        <w:br/>
      </w:r>
      <w:r>
        <w:rPr>
          <w:rFonts w:ascii="Times New Roman" w:hAnsi="Times New Roman"/>
          <w:color w:val="000000"/>
          <w:sz w:val="21"/>
          <w:szCs w:val="21"/>
          <w:shd w:val="clear" w:color="auto" w:fill="FFFFFF"/>
        </w:rPr>
        <w:t xml:space="preserve">U Gortanovoj su uvali u Puli 17.10  predstavnici Grada Pule, Istarske županije te Udruge antifašističkih boraca i antifašista </w:t>
      </w:r>
      <w:r>
        <w:rPr>
          <w:rFonts w:ascii="Times New Roman" w:hAnsi="Times New Roman"/>
          <w:color w:val="000000"/>
          <w:sz w:val="21"/>
          <w:szCs w:val="21"/>
          <w:shd w:val="clear" w:color="auto" w:fill="FFFFFF"/>
        </w:rPr>
        <w:t>Grada Pule, na spomeniku Vladimiru Gortanu, položili vijence povodom obilježavanja 89. obljetnice pogibije ovog velikog rodoljuba</w:t>
      </w:r>
      <w:r>
        <w:rPr>
          <w:rFonts w:ascii="Open Sans" w:hAnsi="Open Sans"/>
          <w:color w:val="000000"/>
          <w:sz w:val="18"/>
          <w:szCs w:val="18"/>
          <w:shd w:val="clear" w:color="auto" w:fill="FFFFFF"/>
        </w:rPr>
        <w:t>. Učenice Lyn Šerović 3.b i Ilenia Duras 7.b pripremile su recitacije za obilježavanje kao predstavnice škole Stoja koja je nek</w:t>
      </w:r>
      <w:r>
        <w:rPr>
          <w:rFonts w:ascii="Open Sans" w:hAnsi="Open Sans"/>
          <w:color w:val="000000"/>
          <w:sz w:val="18"/>
          <w:szCs w:val="18"/>
          <w:shd w:val="clear" w:color="auto" w:fill="FFFFFF"/>
        </w:rPr>
        <w:t>ad nosila ime Vladimira Gortana,</w:t>
      </w:r>
    </w:p>
    <w:p w:rsidR="006E76E5" w:rsidRDefault="002C7F03">
      <w:r>
        <w:rPr>
          <w:rFonts w:ascii="Open Sans" w:hAnsi="Open Sans"/>
          <w:color w:val="000000"/>
          <w:sz w:val="18"/>
          <w:szCs w:val="18"/>
          <w:shd w:val="clear" w:color="auto" w:fill="FFFFFF"/>
        </w:rPr>
        <w:t xml:space="preserve">                                                                                                    </w:t>
      </w:r>
    </w:p>
    <w:p w:rsidR="006E76E5" w:rsidRDefault="002C7F03">
      <w:r>
        <w:rPr>
          <w:rFonts w:ascii="Times New Roman" w:hAnsi="Times New Roman"/>
          <w:noProof/>
          <w:sz w:val="21"/>
          <w:szCs w:val="21"/>
          <w:lang w:eastAsia="hr-HR"/>
        </w:rPr>
        <w:drawing>
          <wp:anchor distT="0" distB="0" distL="114300" distR="114300" simplePos="0" relativeHeight="251660288" behindDoc="0" locked="0" layoutInCell="1" allowOverlap="1">
            <wp:simplePos x="0" y="0"/>
            <wp:positionH relativeFrom="column">
              <wp:posOffset>1400175</wp:posOffset>
            </wp:positionH>
            <wp:positionV relativeFrom="paragraph">
              <wp:posOffset>63495</wp:posOffset>
            </wp:positionV>
            <wp:extent cx="3571874" cy="2680965"/>
            <wp:effectExtent l="0" t="0" r="0" b="5085"/>
            <wp:wrapNone/>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571874" cy="2680965"/>
                    </a:xfrm>
                    <a:prstGeom prst="rect">
                      <a:avLst/>
                    </a:prstGeom>
                    <a:noFill/>
                    <a:ln>
                      <a:noFill/>
                      <a:prstDash/>
                    </a:ln>
                  </pic:spPr>
                </pic:pic>
              </a:graphicData>
            </a:graphic>
          </wp:anchor>
        </w:drawing>
      </w:r>
    </w:p>
    <w:sectPr w:rsidR="006E76E5">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03" w:rsidRDefault="002C7F03">
      <w:pPr>
        <w:spacing w:after="0" w:line="240" w:lineRule="auto"/>
      </w:pPr>
      <w:r>
        <w:separator/>
      </w:r>
    </w:p>
  </w:endnote>
  <w:endnote w:type="continuationSeparator" w:id="0">
    <w:p w:rsidR="002C7F03" w:rsidRDefault="002C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03" w:rsidRDefault="002C7F03">
      <w:pPr>
        <w:spacing w:after="0" w:line="240" w:lineRule="auto"/>
      </w:pPr>
      <w:r>
        <w:rPr>
          <w:color w:val="000000"/>
        </w:rPr>
        <w:separator/>
      </w:r>
    </w:p>
  </w:footnote>
  <w:footnote w:type="continuationSeparator" w:id="0">
    <w:p w:rsidR="002C7F03" w:rsidRDefault="002C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76E5"/>
    <w:rsid w:val="002C7F03"/>
    <w:rsid w:val="006E76E5"/>
    <w:rsid w:val="007779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after="100" w:line="240" w:lineRule="auto"/>
    </w:pPr>
    <w:rPr>
      <w:rFonts w:ascii="Times New Roman" w:eastAsia="Times New Roman" w:hAnsi="Times New Roman"/>
      <w:sz w:val="24"/>
      <w:szCs w:val="24"/>
      <w:lang w:eastAsia="hr-HR"/>
    </w:rPr>
  </w:style>
  <w:style w:type="character" w:styleId="Hiperveza">
    <w:name w:val="Hyperlink"/>
    <w:basedOn w:val="Zadanifontodlomka"/>
    <w:rPr>
      <w:color w:val="0000FF"/>
      <w:u w:val="single"/>
    </w:rPr>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after="100" w:line="240" w:lineRule="auto"/>
    </w:pPr>
    <w:rPr>
      <w:rFonts w:ascii="Times New Roman" w:eastAsia="Times New Roman" w:hAnsi="Times New Roman"/>
      <w:sz w:val="24"/>
      <w:szCs w:val="24"/>
      <w:lang w:eastAsia="hr-HR"/>
    </w:rPr>
  </w:style>
  <w:style w:type="character" w:styleId="Hiperveza">
    <w:name w:val="Hyperlink"/>
    <w:basedOn w:val="Zadanifontodlomka"/>
    <w:rPr>
      <w:color w:val="0000FF"/>
      <w:u w:val="single"/>
    </w:rPr>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r.wikipedia.org/wiki/Antifa&#353;izam" TargetMode="External"/><Relationship Id="rId13" Type="http://schemas.openxmlformats.org/officeDocument/2006/relationships/hyperlink" Target="https://hr.wikipedia.org/wiki/24._o&#382;ujka" TargetMode="External"/><Relationship Id="rId18" Type="http://schemas.openxmlformats.org/officeDocument/2006/relationships/hyperlink" Target="https://hr.wikipedia.org/wiki/Ri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r.wikipedia.org/wiki/Pula" TargetMode="External"/><Relationship Id="rId7" Type="http://schemas.openxmlformats.org/officeDocument/2006/relationships/hyperlink" Target="https://hr.wikipedia.org/wiki/1928." TargetMode="External"/><Relationship Id="rId12" Type="http://schemas.openxmlformats.org/officeDocument/2006/relationships/hyperlink" Target="https://hr.wikipedia.org/wiki/Plebiscit" TargetMode="External"/><Relationship Id="rId17" Type="http://schemas.openxmlformats.org/officeDocument/2006/relationships/image" Target="media/image1.jpg"/><Relationship Id="rId25" Type="http://schemas.openxmlformats.org/officeDocument/2006/relationships/image" Target="media/image3.jpg"/><Relationship Id="rId2" Type="http://schemas.microsoft.com/office/2007/relationships/stylesWithEffects" Target="stylesWithEffects.xml"/><Relationship Id="rId16" Type="http://schemas.openxmlformats.org/officeDocument/2006/relationships/hyperlink" Target="https://hr.wikipedia.org/wiki/Denacionalizacija" TargetMode="External"/><Relationship Id="rId20" Type="http://schemas.openxmlformats.org/officeDocument/2006/relationships/hyperlink" Target="https://hr.wikipedia.org/wiki/16._listopad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r.wikipedia.org/wiki/Istra"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hr.wikipedia.org/wiki/Pacifizam" TargetMode="External"/><Relationship Id="rId23" Type="http://schemas.openxmlformats.org/officeDocument/2006/relationships/hyperlink" Target="https://hr.wikipedia.org/wiki/1929." TargetMode="External"/><Relationship Id="rId10" Type="http://schemas.openxmlformats.org/officeDocument/2006/relationships/hyperlink" Target="https://hr.wikipedia.org/wiki/Talijanizacija" TargetMode="External"/><Relationship Id="rId19" Type="http://schemas.openxmlformats.org/officeDocument/2006/relationships/hyperlink" Target="https://hr.wikipedia.org/wiki/14._listopada" TargetMode="External"/><Relationship Id="rId4" Type="http://schemas.openxmlformats.org/officeDocument/2006/relationships/webSettings" Target="webSettings.xml"/><Relationship Id="rId9" Type="http://schemas.openxmlformats.org/officeDocument/2006/relationships/hyperlink" Target="https://hr.wikipedia.org/wiki/TIGR" TargetMode="External"/><Relationship Id="rId14" Type="http://schemas.openxmlformats.org/officeDocument/2006/relationships/hyperlink" Target="https://hr.wikipedia.org/wiki/1929." TargetMode="External"/><Relationship Id="rId22" Type="http://schemas.openxmlformats.org/officeDocument/2006/relationships/hyperlink" Target="https://hr.wikipedia.org/wiki/17._listopad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Ucenik</dc:creator>
  <cp:lastModifiedBy>Velikanja</cp:lastModifiedBy>
  <cp:revision>2</cp:revision>
  <dcterms:created xsi:type="dcterms:W3CDTF">2018-10-24T14:11:00Z</dcterms:created>
  <dcterms:modified xsi:type="dcterms:W3CDTF">2018-10-24T14:11:00Z</dcterms:modified>
</cp:coreProperties>
</file>